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Gazipur GC-Badura GC via Atharogachia UP.</w:t>
      </w:r>
    </w:p>
    <w:p>
      <w:pPr>
        <w:spacing w:after="20" w:before="0"/>
        <w:jc w:val="center"/>
      </w:pPr>
      <w:r>
        <w:rPr>
          <w:color w:val="555555"/>
        </w:rPr>
        <w:t xml:space="preserve">504092006  ·  Amtali › BARGUNA › Barishal</w:t>
      </w:r>
    </w:p>
    <w:p>
      <w:pPr>
        <w:spacing w:after="160" w:before="0"/>
        <w:jc w:val="center"/>
      </w:pPr>
      <w:r>
        <w:rPr>
          <w:sz w:val="18"/>
          <w:color w:val="777777"/>
        </w:rPr>
        <w:t xml:space="preserve">13.70 km  ·  Upazila Road  ·  ERT</w:t>
      </w:r>
    </w:p>
    <w:tbl>
      <w:tblPr>
        <w:tblW w:w="9000" w:type="dxa"/>
      </w:tblPr>
      <w:tblGrid>
        <w:gridCol w:w="9000"/>
      </w:tblGrid>
      <w:tr>
        <w:tc>
          <w:tcPr>
            <w:tcW w:w="9000" w:type="dxa"/>
            <w:shd w:val="clear" w:fill="d32f2f"/>
            <w:vAlign w:val="center"/>
          </w:tcPr>
          <w:p>
            <w:pPr>
              <w:jc w:val="center"/>
              <w:spacing w:before="160" w:after="160"/>
            </w:pPr>
            <w:r>
              <w:rPr>
                <w:b/>
                <w:sz w:val="32"/>
                <w:color w:val="FFFFFF"/>
              </w:rPr>
              <w:t xml:space="preserve">LOW RESILIENCE   ·   Final RI_CC 1.15</w:t>
            </w:r>
          </w:p>
        </w:tc>
      </w:tr>
    </w:tbl>
    <w:p/>
    <w:p>
      <w:pPr>
        <w:spacing w:after="240" w:before="0"/>
        <w:jc w:val="center"/>
      </w:pPr>
      <w:r>
        <w:rPr>
          <w:sz w:val="18"/>
          <w:color w:val="777777"/>
        </w:rPr>
        <w:t xml:space="preserve">SSP SSP5-8.5  ·  Design horizon to 2030</w:t>
      </w:r>
    </w:p>
    <w:p>
      <w:pPr>
        <w:spacing w:after="100" w:before="0"/>
      </w:pPr>
      <w:r>
        <w:rPr>
          <w:b/>
          <w:sz w:val="26"/>
          <w:color w:val="d32f2f"/>
        </w:rPr>
        <w:t xml:space="preserve">The Road &amp; Its Climate Outlook</w:t>
      </w:r>
    </w:p>
    <w:p>
      <w:pPr>
        <w:spacing w:after="140" w:before="0"/>
      </w:pPr>
      <w:r>
        <w:t xml:space="preserve">Gazipur GC-Badura GC via Atharogachia UP. (504092006) is a Upazila Road road spanning 13.70 km through Upazila: Amtali, District: BARGUNA, Division: Barishal. Assessed under the SSP5-8.5 climate pathway, with a design horizon to 2030, its computed climate resilience index (RICC) is 1.15 — rated LOW.</w:t>
      </w:r>
    </w:p>
    <w:p>
      <w:pPr>
        <w:spacing w:after="120"/>
      </w:pPr>
      <w:r>
        <w:t xml:space="preserve">The road Gazipur GC-Badura GC via Atharogachia UP, located in Amtali, BARGUNA, Barishal, has a computed resilience result of 1.15, indicating a low resilience degree. Given the high-emissions pathway of SSP5-8.5, the road is expected to face significant climate-related challenges by 2030, including intensifying monsoon rainfall and flash flooding, which may lead to waterlogging and erosion. The predicted 11.37% increase in precipitation and 52.49% rise in temperature will further exacerbate these issues, potentially damaging the road's surface and disrupting traffic. The road's surface design life of 5 years may not be sufficient to withstand these climate-related stresses.</w:t>
      </w:r>
    </w:p>
    <w:p>
      <w:pPr>
        <w:spacing w:after="120"/>
      </w:pPr>
      <w:r>
        <w:t xml:space="preserve">The low resilience degree of this road suggests that it may not be able to withstand the projected climate changes, particularly the increased precipitation and temperature. To mitigate these risks, baseline engineering actions such as building redundancy, upgrading, enhanced maintenance and retrofit, and monitoring and learning are essential. Additionally, the road's location in a low-lying area makes it prone to waterlogging, which should be considered in the adaptation measures. The rising temperatures may also soften the bituminous surfaces, accelerating rutting and requiring more frequent maintenance.</w:t>
      </w:r>
    </w:p>
    <w:p>
      <w:pPr>
        <w:spacing w:after="60"/>
        <w:ind w:left="360" w:hanging="360"/>
      </w:pPr>
      <w:r>
        <w:t xml:space="preserve">• </w:t>
      </w:r>
      <w:r>
        <w:t xml:space="preserve">Build redundancy</w:t>
      </w:r>
    </w:p>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waterlogging and flash flooding</w:t>
      </w:r>
    </w:p>
    <w:p>
      <w:pPr>
        <w:spacing w:after="60"/>
        <w:ind w:left="360" w:hanging="360"/>
      </w:pPr>
      <w:r>
        <w:t xml:space="preserve">• </w:t>
      </w:r>
      <w:r>
        <w:t xml:space="preserve">Embankment protection to prevent erosion and channel migration</w:t>
      </w:r>
    </w:p>
    <w:p>
      <w:pPr>
        <w:spacing w:after="60"/>
        <w:ind w:left="360" w:hanging="360"/>
      </w:pPr>
      <w:r>
        <w:t xml:space="preserve">• </w:t>
      </w:r>
      <w:r>
        <w:t xml:space="preserve">Raised pavement sections in low-lying areas to reduce the risk of waterlogging</w:t>
      </w:r>
    </w:p>
    <w:p>
      <w:pPr>
        <w:spacing w:after="60"/>
        <w:ind w:left="360" w:hanging="360"/>
      </w:pPr>
      <w:r>
        <w:t xml:space="preserve">• </w:t>
      </w:r>
      <w:r>
        <w:t xml:space="preserve">Enhanced slope protection to prevent landslides and erosion</w:t>
      </w:r>
    </w:p>
    <w:p>
      <w:pPr>
        <w:spacing w:after="100" w:before="0"/>
      </w:pPr>
      <w:r>
        <w:t xml:space="preserve"/>
      </w:r>
    </w:p>
    <w:p>
      <w:pPr>
        <w:spacing w:after="100" w:before="0"/>
      </w:pPr>
      <w:r>
        <w:rPr>
          <w:b/>
          <w:sz w:val="26"/>
          <w:color w:val="d32f2f"/>
        </w:rPr>
        <w:t xml:space="preserve">Recommended Adaptation Measures</w:t>
      </w:r>
    </w:p>
    <w:tbl>
      <w:tblPr>
        <w:tblW w:w="9000" w:type="dxa"/>
      </w:tblPr>
      <w:tblGrid>
        <w:gridCol w:w="9000"/>
      </w:tblGrid>
      <w:tr>
        <w:tc>
          <w:tcPr>
            <w:tcW w:w="9000" w:type="dxa"/>
            <w:shd w:val="clear" w:fill="FDEDED"/>
            <w:tcMar>
              <w:top w:w="160" w:type="dxa"/>
              <w:bottom w:w="160" w:type="dxa"/>
              <w:left w:w="200" w:type="dxa"/>
              <w:right w:w="200" w:type="dxa"/>
            </w:tcMar>
          </w:tcPr>
          <w:p>
            <w:pPr>
              <w:spacing w:after="60"/>
              <w:ind w:left="360" w:hanging="360"/>
            </w:pPr>
            <w:r>
              <w:t xml:space="preserve">• </w:t>
            </w:r>
            <w:r>
              <w:t xml:space="preserve">Build redundancy</w:t>
            </w:r>
          </w:p>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waterlogging and flash flooding</w:t>
            </w:r>
          </w:p>
          <w:p>
            <w:pPr>
              <w:spacing w:after="60"/>
              <w:ind w:left="360" w:hanging="360"/>
            </w:pPr>
            <w:r>
              <w:t xml:space="preserve">• </w:t>
            </w:r>
            <w:r>
              <w:t xml:space="preserve">Embankment protection to prevent erosion and channel migration</w:t>
            </w:r>
          </w:p>
          <w:p>
            <w:pPr>
              <w:spacing w:after="60"/>
              <w:ind w:left="360" w:hanging="360"/>
            </w:pPr>
            <w:r>
              <w:t xml:space="preserve">• </w:t>
            </w:r>
            <w:r>
              <w:t xml:space="preserve">Raised pavement sections in low-lying areas to reduce the risk of waterlogging</w:t>
            </w:r>
          </w:p>
          <w:p>
            <w:pPr>
              <w:spacing w:after="60"/>
              <w:ind w:left="360" w:hanging="360"/>
            </w:pPr>
            <w:r>
              <w:t xml:space="preserve">• </w:t>
            </w:r>
            <w:r>
              <w:t xml:space="preserve">Enhanced slope protection to prevent landslides and erosion</w:t>
            </w:r>
          </w:p>
        </w:tc>
      </w:tr>
    </w:tbl>
    <w:p/>
    <w:p>
      <w:pPr>
        <w:spacing w:after="100" w:before="0"/>
      </w:pPr>
      <w:r>
        <w:rPr>
          <w:b/>
          <w:sz w:val="26"/>
          <w:color w:val="d32f2f"/>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11.4%  ·  Temp 52.5%</w:t>
      </w:r>
    </w:p>
    <w:p>
      <w:pPr>
        <w:spacing w:after="40" w:before="0"/>
      </w:pPr>
      <w:r>
        <w:rPr>
          <w:sz w:val="18"/>
          <w:color w:val="555555"/>
        </w:rPr>
        <w:t xml:space="preserve">RI_CC — Precip 1.15  ·  Temp 1.17  ·  Final 1.15</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2026-10-24T09:43:31+00:00</dcterms:created>
  <dcterms:modified xsi:type="dcterms:W3CDTF">2026-10-24T09:43:31+00:00</dcterms:modified>
</cp:coreProperties>
</file>